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57" w:rsidRDefault="00982457">
      <w:pPr>
        <w:pStyle w:val="a3"/>
        <w:spacing w:before="67"/>
        <w:jc w:val="left"/>
      </w:pPr>
    </w:p>
    <w:p w:rsidR="00982457" w:rsidRDefault="00B0172C">
      <w:pPr>
        <w:pStyle w:val="a3"/>
        <w:spacing w:before="1" w:line="288" w:lineRule="auto"/>
        <w:ind w:left="6908" w:right="124" w:firstLine="1224"/>
        <w:jc w:val="righ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5297042</wp:posOffset>
            </wp:positionH>
            <wp:positionV relativeFrom="paragraph">
              <wp:posOffset>-224203</wp:posOffset>
            </wp:positionV>
            <wp:extent cx="982675" cy="147644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675" cy="147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 xml:space="preserve">Утверждаю </w:t>
      </w:r>
      <w:r>
        <w:t>Директор</w:t>
      </w:r>
      <w:r>
        <w:rPr>
          <w:spacing w:val="-11"/>
        </w:rPr>
        <w:t xml:space="preserve"> </w:t>
      </w:r>
      <w:r>
        <w:t>ФГБУ</w:t>
      </w:r>
      <w:r>
        <w:rPr>
          <w:spacing w:val="-5"/>
        </w:rPr>
        <w:t xml:space="preserve"> </w:t>
      </w:r>
      <w:r>
        <w:rPr>
          <w:spacing w:val="-4"/>
        </w:rPr>
        <w:t>«ЦАС</w:t>
      </w:r>
    </w:p>
    <w:p w:rsidR="00982457" w:rsidRDefault="00B0172C">
      <w:pPr>
        <w:pStyle w:val="a3"/>
        <w:spacing w:before="4"/>
        <w:ind w:right="125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66AC22C" wp14:editId="18A7BD4C">
            <wp:simplePos x="0" y="0"/>
            <wp:positionH relativeFrom="column">
              <wp:posOffset>3352800</wp:posOffset>
            </wp:positionH>
            <wp:positionV relativeFrom="paragraph">
              <wp:posOffset>44450</wp:posOffset>
            </wp:positionV>
            <wp:extent cx="1609725" cy="1601470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«Белгородский»</w:t>
      </w:r>
    </w:p>
    <w:p w:rsidR="00982457" w:rsidRDefault="00B0172C">
      <w:pPr>
        <w:pStyle w:val="a3"/>
        <w:tabs>
          <w:tab w:val="left" w:pos="2625"/>
        </w:tabs>
        <w:spacing w:before="58"/>
        <w:ind w:right="128"/>
        <w:jc w:val="right"/>
      </w:pPr>
      <w:r>
        <w:rPr>
          <w:u w:val="single"/>
        </w:rPr>
        <w:tab/>
      </w:r>
      <w:proofErr w:type="spellStart"/>
      <w:r>
        <w:rPr>
          <w:spacing w:val="-2"/>
        </w:rPr>
        <w:t>С.В.Лукин</w:t>
      </w:r>
      <w:proofErr w:type="spellEnd"/>
    </w:p>
    <w:p w:rsidR="00982457" w:rsidRDefault="00B0172C">
      <w:pPr>
        <w:pStyle w:val="a3"/>
        <w:tabs>
          <w:tab w:val="left" w:pos="499"/>
          <w:tab w:val="left" w:pos="3000"/>
          <w:tab w:val="left" w:pos="3623"/>
        </w:tabs>
        <w:spacing w:before="58"/>
        <w:ind w:right="129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82457" w:rsidRDefault="00982457">
      <w:pPr>
        <w:pStyle w:val="a3"/>
        <w:jc w:val="left"/>
      </w:pPr>
    </w:p>
    <w:p w:rsidR="00982457" w:rsidRDefault="00982457">
      <w:pPr>
        <w:pStyle w:val="a3"/>
        <w:jc w:val="left"/>
      </w:pPr>
    </w:p>
    <w:p w:rsidR="00982457" w:rsidRDefault="00982457">
      <w:pPr>
        <w:pStyle w:val="a3"/>
        <w:jc w:val="left"/>
      </w:pPr>
    </w:p>
    <w:p w:rsidR="00982457" w:rsidRDefault="00982457">
      <w:pPr>
        <w:pStyle w:val="a3"/>
        <w:jc w:val="left"/>
      </w:pPr>
    </w:p>
    <w:p w:rsidR="00982457" w:rsidRDefault="00982457">
      <w:pPr>
        <w:pStyle w:val="a3"/>
        <w:spacing w:before="5"/>
        <w:jc w:val="left"/>
      </w:pPr>
    </w:p>
    <w:p w:rsidR="00982457" w:rsidRDefault="00B0172C">
      <w:pPr>
        <w:pStyle w:val="a4"/>
      </w:pPr>
      <w:r>
        <w:rPr>
          <w:spacing w:val="-2"/>
        </w:rPr>
        <w:t>ДОКЛАД</w:t>
      </w:r>
    </w:p>
    <w:p w:rsidR="00982457" w:rsidRDefault="00B0172C">
      <w:pPr>
        <w:pStyle w:val="a3"/>
        <w:spacing w:before="59" w:line="288" w:lineRule="auto"/>
        <w:ind w:left="1" w:right="13"/>
        <w:jc w:val="center"/>
      </w:pPr>
      <w:r>
        <w:t>о</w:t>
      </w:r>
      <w:r>
        <w:rPr>
          <w:spacing w:val="-6"/>
        </w:rPr>
        <w:t xml:space="preserve"> </w:t>
      </w:r>
      <w:r>
        <w:t>соблюдении</w:t>
      </w:r>
      <w:r>
        <w:rPr>
          <w:spacing w:val="-5"/>
        </w:rPr>
        <w:t xml:space="preserve"> </w:t>
      </w:r>
      <w:r>
        <w:t>антимонопольного</w:t>
      </w:r>
      <w:r>
        <w:rPr>
          <w:spacing w:val="-6"/>
        </w:rPr>
        <w:t xml:space="preserve"> </w:t>
      </w:r>
      <w:r>
        <w:t>законодательства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ФГБУ</w:t>
      </w:r>
      <w:r>
        <w:rPr>
          <w:spacing w:val="-2"/>
        </w:rPr>
        <w:t xml:space="preserve"> </w:t>
      </w:r>
      <w:r>
        <w:t>«ЦАС</w:t>
      </w:r>
      <w:r>
        <w:rPr>
          <w:spacing w:val="-3"/>
        </w:rPr>
        <w:t xml:space="preserve"> </w:t>
      </w:r>
      <w:r>
        <w:t>«Белгородский»</w:t>
      </w:r>
      <w:r>
        <w:rPr>
          <w:spacing w:val="-8"/>
        </w:rPr>
        <w:t xml:space="preserve"> </w:t>
      </w:r>
      <w:r>
        <w:t xml:space="preserve">за </w:t>
      </w:r>
      <w:bookmarkStart w:id="0" w:name="_GoBack"/>
      <w:bookmarkEnd w:id="0"/>
      <w:r>
        <w:t>2024</w:t>
      </w:r>
      <w:r>
        <w:t xml:space="preserve"> год.</w:t>
      </w:r>
    </w:p>
    <w:p w:rsidR="00982457" w:rsidRDefault="00982457">
      <w:pPr>
        <w:pStyle w:val="a3"/>
        <w:spacing w:before="14"/>
        <w:jc w:val="left"/>
      </w:pPr>
    </w:p>
    <w:p w:rsidR="00982457" w:rsidRDefault="00B0172C">
      <w:pPr>
        <w:pStyle w:val="a3"/>
        <w:spacing w:line="309" w:lineRule="auto"/>
        <w:ind w:left="134" w:right="154" w:firstLine="539"/>
      </w:pPr>
      <w:r>
        <w:t xml:space="preserve">Под антимонопольным комплексом понимается система мер, позволяющих предотвратить нарушения антимонопольного законодательства сотрудниками </w:t>
      </w:r>
      <w:r>
        <w:rPr>
          <w:spacing w:val="-2"/>
        </w:rPr>
        <w:t>Учреждения.</w:t>
      </w:r>
    </w:p>
    <w:p w:rsidR="00982457" w:rsidRDefault="00B0172C">
      <w:pPr>
        <w:pStyle w:val="a3"/>
        <w:spacing w:line="309" w:lineRule="auto"/>
        <w:ind w:left="134" w:right="151" w:firstLine="539"/>
      </w:pPr>
      <w:r>
        <w:t>Во исполнение Указа Президента РФ от 21.12.2017г. № 618 «Об основных направлениях государственной политики по развитию конкуренции», распоряжение 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18.10.2018г.</w:t>
      </w:r>
      <w:r>
        <w:rPr>
          <w:spacing w:val="-6"/>
        </w:rPr>
        <w:t xml:space="preserve"> </w:t>
      </w:r>
      <w:r>
        <w:t>№2258-р,</w:t>
      </w:r>
      <w:r>
        <w:rPr>
          <w:spacing w:val="-6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утверждены Методические рекомендации по со</w:t>
      </w:r>
      <w:r>
        <w:t>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 Федеральным государственным бюджетным учреждением «Центр агрохимической службы «Белгородский» (дале</w:t>
      </w:r>
      <w:r>
        <w:t>е Учреждение), разработано Положение об организации в ФГБУ «ЦАС «Белгородский» системы внутреннего обеспечения соответствия требованиям антимонопольного законодательства (антимонопольного комплекса).</w:t>
      </w:r>
    </w:p>
    <w:p w:rsidR="00982457" w:rsidRDefault="00B0172C">
      <w:pPr>
        <w:pStyle w:val="a3"/>
        <w:spacing w:line="280" w:lineRule="exact"/>
        <w:ind w:left="674"/>
      </w:pPr>
      <w:r>
        <w:rPr>
          <w:spacing w:val="-2"/>
        </w:rPr>
        <w:t>Целями</w:t>
      </w:r>
      <w:r>
        <w:rPr>
          <w:spacing w:val="2"/>
        </w:rPr>
        <w:t xml:space="preserve"> </w:t>
      </w:r>
      <w:r>
        <w:rPr>
          <w:spacing w:val="-2"/>
        </w:rPr>
        <w:t>антимонопольного</w:t>
      </w:r>
      <w:r>
        <w:rPr>
          <w:spacing w:val="1"/>
        </w:rPr>
        <w:t xml:space="preserve"> </w:t>
      </w:r>
      <w:r>
        <w:rPr>
          <w:spacing w:val="-2"/>
        </w:rPr>
        <w:t>комплекса</w:t>
      </w:r>
      <w:r>
        <w:rPr>
          <w:spacing w:val="2"/>
        </w:rPr>
        <w:t xml:space="preserve"> </w:t>
      </w:r>
      <w:r>
        <w:rPr>
          <w:spacing w:val="-2"/>
        </w:rPr>
        <w:t>являются:</w:t>
      </w:r>
    </w:p>
    <w:p w:rsidR="00982457" w:rsidRDefault="00B0172C">
      <w:pPr>
        <w:pStyle w:val="a5"/>
        <w:numPr>
          <w:ilvl w:val="0"/>
          <w:numId w:val="2"/>
        </w:numPr>
        <w:tabs>
          <w:tab w:val="left" w:pos="963"/>
        </w:tabs>
        <w:spacing w:before="81" w:line="309" w:lineRule="auto"/>
        <w:ind w:right="153" w:firstLine="539"/>
        <w:jc w:val="both"/>
        <w:rPr>
          <w:sz w:val="25"/>
        </w:rPr>
      </w:pPr>
      <w:r>
        <w:rPr>
          <w:sz w:val="25"/>
        </w:rPr>
        <w:t xml:space="preserve">Обеспечение </w:t>
      </w:r>
      <w:r>
        <w:rPr>
          <w:sz w:val="25"/>
        </w:rPr>
        <w:t>соответствия деятельности Учреждения требованиям антимонопольного законодательства;</w:t>
      </w:r>
    </w:p>
    <w:p w:rsidR="00982457" w:rsidRDefault="00B0172C">
      <w:pPr>
        <w:pStyle w:val="a5"/>
        <w:numPr>
          <w:ilvl w:val="0"/>
          <w:numId w:val="2"/>
        </w:numPr>
        <w:tabs>
          <w:tab w:val="left" w:pos="960"/>
        </w:tabs>
        <w:spacing w:line="309" w:lineRule="auto"/>
        <w:ind w:right="154" w:firstLine="539"/>
        <w:jc w:val="both"/>
        <w:rPr>
          <w:sz w:val="25"/>
        </w:rPr>
      </w:pPr>
      <w:r>
        <w:rPr>
          <w:sz w:val="25"/>
        </w:rPr>
        <w:t>Профилактика нарушения антимонопольного законодательства в деятельности Учреждения.</w:t>
      </w:r>
    </w:p>
    <w:p w:rsidR="00982457" w:rsidRDefault="00B0172C">
      <w:pPr>
        <w:pStyle w:val="a3"/>
        <w:spacing w:line="309" w:lineRule="auto"/>
        <w:ind w:left="134" w:right="150" w:firstLine="539"/>
      </w:pPr>
      <w:r>
        <w:t>Положением урегулирован порядок функционирования антимонопольного комплекса в Учреждении</w:t>
      </w:r>
      <w:r>
        <w:t>. А именно: определены должностные лица, ответственные за организацию системы внутреннего обеспечения соответствия требованиям антимонопольного законодательства, определен порядок выявления и оценки рисков нарушения антимонопольного законодательства, утвер</w:t>
      </w:r>
      <w:r>
        <w:t>ждены уровни рисков нарушений антимонопольного законодательства и ключевые показатели реализации мероприятий антимонопольного комплекса.</w:t>
      </w:r>
    </w:p>
    <w:p w:rsidR="00982457" w:rsidRDefault="00B0172C">
      <w:pPr>
        <w:pStyle w:val="a3"/>
        <w:spacing w:before="16" w:line="333" w:lineRule="auto"/>
        <w:ind w:left="114" w:right="156" w:firstLine="559"/>
      </w:pPr>
      <w:r>
        <w:t>В целях выявления рисков нарушения антимонопольного законодательства в деятельности Учреждения осуществляются следующие</w:t>
      </w:r>
      <w:r>
        <w:t xml:space="preserve"> мероприятия:</w:t>
      </w:r>
    </w:p>
    <w:p w:rsidR="00982457" w:rsidRDefault="00B0172C">
      <w:pPr>
        <w:pStyle w:val="a5"/>
        <w:numPr>
          <w:ilvl w:val="0"/>
          <w:numId w:val="1"/>
        </w:numPr>
        <w:tabs>
          <w:tab w:val="left" w:pos="1093"/>
        </w:tabs>
        <w:spacing w:line="268" w:lineRule="exact"/>
        <w:ind w:left="1093" w:hanging="419"/>
        <w:jc w:val="both"/>
        <w:rPr>
          <w:sz w:val="25"/>
        </w:rPr>
      </w:pPr>
      <w:proofErr w:type="gramStart"/>
      <w:r>
        <w:rPr>
          <w:sz w:val="25"/>
        </w:rPr>
        <w:t>анализ</w:t>
      </w:r>
      <w:r>
        <w:rPr>
          <w:spacing w:val="30"/>
          <w:sz w:val="25"/>
        </w:rPr>
        <w:t xml:space="preserve">  </w:t>
      </w:r>
      <w:r>
        <w:rPr>
          <w:sz w:val="25"/>
        </w:rPr>
        <w:t>выявленных</w:t>
      </w:r>
      <w:proofErr w:type="gramEnd"/>
      <w:r>
        <w:rPr>
          <w:spacing w:val="30"/>
          <w:sz w:val="25"/>
        </w:rPr>
        <w:t xml:space="preserve">  </w:t>
      </w:r>
      <w:r>
        <w:rPr>
          <w:sz w:val="25"/>
        </w:rPr>
        <w:t>нарушений</w:t>
      </w:r>
      <w:r>
        <w:rPr>
          <w:spacing w:val="30"/>
          <w:sz w:val="25"/>
        </w:rPr>
        <w:t xml:space="preserve">  </w:t>
      </w:r>
      <w:r>
        <w:rPr>
          <w:sz w:val="25"/>
        </w:rPr>
        <w:t>антимонопольного</w:t>
      </w:r>
      <w:r>
        <w:rPr>
          <w:spacing w:val="30"/>
          <w:sz w:val="25"/>
        </w:rPr>
        <w:t xml:space="preserve">  </w:t>
      </w:r>
      <w:r>
        <w:rPr>
          <w:sz w:val="25"/>
        </w:rPr>
        <w:t>законодательства</w:t>
      </w:r>
      <w:r>
        <w:rPr>
          <w:spacing w:val="30"/>
          <w:sz w:val="25"/>
        </w:rPr>
        <w:t xml:space="preserve">  </w:t>
      </w:r>
      <w:r>
        <w:rPr>
          <w:spacing w:val="-10"/>
          <w:sz w:val="25"/>
        </w:rPr>
        <w:t>в</w:t>
      </w:r>
    </w:p>
    <w:p w:rsidR="00982457" w:rsidRDefault="00B0172C">
      <w:pPr>
        <w:pStyle w:val="a3"/>
        <w:spacing w:before="87" w:line="312" w:lineRule="auto"/>
        <w:ind w:left="114" w:right="149"/>
      </w:pPr>
      <w:r>
        <w:t>деятельности Учреждения за 2024</w:t>
      </w:r>
      <w:r>
        <w:t xml:space="preserve"> год (наличие предостережений, предупреждений, штрафов, жалоб, возбужденных дел;</w:t>
      </w:r>
    </w:p>
    <w:p w:rsidR="00982457" w:rsidRDefault="00982457">
      <w:pPr>
        <w:pStyle w:val="a3"/>
        <w:spacing w:line="312" w:lineRule="auto"/>
        <w:sectPr w:rsidR="00982457">
          <w:type w:val="continuous"/>
          <w:pgSz w:w="11910" w:h="16840"/>
          <w:pgMar w:top="240" w:right="708" w:bottom="280" w:left="1700" w:header="720" w:footer="720" w:gutter="0"/>
          <w:cols w:space="720"/>
        </w:sectPr>
      </w:pPr>
    </w:p>
    <w:p w:rsidR="00982457" w:rsidRDefault="00B0172C">
      <w:pPr>
        <w:pStyle w:val="a5"/>
        <w:numPr>
          <w:ilvl w:val="0"/>
          <w:numId w:val="1"/>
        </w:numPr>
        <w:tabs>
          <w:tab w:val="left" w:pos="1101"/>
        </w:tabs>
        <w:spacing w:before="74"/>
        <w:ind w:left="1101" w:hanging="427"/>
        <w:jc w:val="both"/>
        <w:rPr>
          <w:sz w:val="25"/>
        </w:rPr>
      </w:pPr>
      <w:r>
        <w:rPr>
          <w:sz w:val="25"/>
        </w:rPr>
        <w:lastRenderedPageBreak/>
        <w:t>анализ</w:t>
      </w:r>
      <w:r>
        <w:rPr>
          <w:spacing w:val="-13"/>
          <w:sz w:val="25"/>
        </w:rPr>
        <w:t xml:space="preserve"> </w:t>
      </w:r>
      <w:r>
        <w:rPr>
          <w:sz w:val="25"/>
        </w:rPr>
        <w:t>правовых</w:t>
      </w:r>
      <w:r>
        <w:rPr>
          <w:spacing w:val="-10"/>
          <w:sz w:val="25"/>
        </w:rPr>
        <w:t xml:space="preserve"> </w:t>
      </w:r>
      <w:r>
        <w:rPr>
          <w:sz w:val="25"/>
        </w:rPr>
        <w:t>нормативных</w:t>
      </w:r>
      <w:r>
        <w:rPr>
          <w:spacing w:val="-12"/>
          <w:sz w:val="25"/>
        </w:rPr>
        <w:t xml:space="preserve"> </w:t>
      </w:r>
      <w:r>
        <w:rPr>
          <w:sz w:val="25"/>
        </w:rPr>
        <w:t>актов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Учреждения;</w:t>
      </w:r>
    </w:p>
    <w:p w:rsidR="00982457" w:rsidRDefault="00B0172C">
      <w:pPr>
        <w:pStyle w:val="a5"/>
        <w:numPr>
          <w:ilvl w:val="0"/>
          <w:numId w:val="1"/>
        </w:numPr>
        <w:tabs>
          <w:tab w:val="left" w:pos="1091"/>
        </w:tabs>
        <w:spacing w:before="87"/>
        <w:ind w:left="1091" w:hanging="417"/>
        <w:jc w:val="both"/>
        <w:rPr>
          <w:sz w:val="25"/>
        </w:rPr>
      </w:pPr>
      <w:r>
        <w:rPr>
          <w:sz w:val="25"/>
        </w:rPr>
        <w:t>анализ</w:t>
      </w:r>
      <w:r>
        <w:rPr>
          <w:spacing w:val="-12"/>
          <w:sz w:val="25"/>
        </w:rPr>
        <w:t xml:space="preserve"> </w:t>
      </w:r>
      <w:r>
        <w:rPr>
          <w:sz w:val="25"/>
        </w:rPr>
        <w:t>проектов</w:t>
      </w:r>
      <w:r>
        <w:rPr>
          <w:spacing w:val="-12"/>
          <w:sz w:val="25"/>
        </w:rPr>
        <w:t xml:space="preserve"> </w:t>
      </w:r>
      <w:r>
        <w:rPr>
          <w:sz w:val="25"/>
        </w:rPr>
        <w:t>нормативных</w:t>
      </w:r>
      <w:r>
        <w:rPr>
          <w:spacing w:val="-11"/>
          <w:sz w:val="25"/>
        </w:rPr>
        <w:t xml:space="preserve"> </w:t>
      </w:r>
      <w:r>
        <w:rPr>
          <w:sz w:val="25"/>
        </w:rPr>
        <w:t>правовых</w:t>
      </w:r>
      <w:r>
        <w:rPr>
          <w:spacing w:val="-12"/>
          <w:sz w:val="25"/>
        </w:rPr>
        <w:t xml:space="preserve"> </w:t>
      </w:r>
      <w:r>
        <w:rPr>
          <w:sz w:val="25"/>
        </w:rPr>
        <w:t>актов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Учреждения;</w:t>
      </w:r>
    </w:p>
    <w:p w:rsidR="00982457" w:rsidRDefault="00B0172C">
      <w:pPr>
        <w:pStyle w:val="a5"/>
        <w:numPr>
          <w:ilvl w:val="0"/>
          <w:numId w:val="1"/>
        </w:numPr>
        <w:tabs>
          <w:tab w:val="left" w:pos="1077"/>
        </w:tabs>
        <w:spacing w:before="88" w:line="312" w:lineRule="auto"/>
        <w:ind w:left="114" w:right="155" w:firstLine="559"/>
        <w:jc w:val="both"/>
        <w:rPr>
          <w:sz w:val="25"/>
        </w:rPr>
      </w:pPr>
      <w:r>
        <w:rPr>
          <w:sz w:val="25"/>
        </w:rPr>
        <w:t>мониторинг и анализ практики применения Учреждением</w:t>
      </w:r>
      <w:r>
        <w:rPr>
          <w:spacing w:val="40"/>
          <w:sz w:val="25"/>
        </w:rPr>
        <w:t xml:space="preserve"> </w:t>
      </w:r>
      <w:r>
        <w:rPr>
          <w:sz w:val="25"/>
        </w:rPr>
        <w:t>антимонопольного законодательства;</w:t>
      </w:r>
    </w:p>
    <w:p w:rsidR="00982457" w:rsidRDefault="00B0172C">
      <w:pPr>
        <w:pStyle w:val="a5"/>
        <w:numPr>
          <w:ilvl w:val="0"/>
          <w:numId w:val="1"/>
        </w:numPr>
        <w:tabs>
          <w:tab w:val="left" w:pos="1092"/>
        </w:tabs>
        <w:spacing w:before="1" w:line="312" w:lineRule="auto"/>
        <w:ind w:left="114" w:right="155" w:firstLine="559"/>
        <w:jc w:val="both"/>
        <w:rPr>
          <w:sz w:val="25"/>
        </w:rPr>
      </w:pPr>
      <w:r>
        <w:rPr>
          <w:sz w:val="25"/>
        </w:rPr>
        <w:t>проведение систематической оценки эффективности разработанных и реализуемых мероприятий по снижении. Рисков наруш</w:t>
      </w:r>
      <w:r>
        <w:rPr>
          <w:sz w:val="25"/>
        </w:rPr>
        <w:t xml:space="preserve">ения антимонопольного </w:t>
      </w:r>
      <w:r>
        <w:rPr>
          <w:spacing w:val="-2"/>
          <w:sz w:val="25"/>
        </w:rPr>
        <w:t>законодательства.</w:t>
      </w:r>
    </w:p>
    <w:p w:rsidR="00982457" w:rsidRDefault="00B0172C">
      <w:pPr>
        <w:pStyle w:val="a3"/>
        <w:spacing w:line="312" w:lineRule="auto"/>
        <w:ind w:left="114" w:right="151" w:firstLine="559"/>
      </w:pPr>
      <w:r>
        <w:t>В 2024</w:t>
      </w:r>
      <w:r>
        <w:t xml:space="preserve"> году в целях выявления и исключения рисков нарушения антимонопольного</w:t>
      </w:r>
      <w:r>
        <w:rPr>
          <w:spacing w:val="-3"/>
        </w:rPr>
        <w:t xml:space="preserve"> </w:t>
      </w:r>
      <w:r>
        <w:t>законодательства,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целесообразности (нецелесообразности)внесения изменений в действующие нормативные правовые а</w:t>
      </w:r>
      <w:r>
        <w:t>кты, Учреждением осуществлены мероприятия по контролю над правовым соответствием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(проектов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актов) антимонопольному законодательству. Проекты нормативных правовых актов и нормативные правовые акты, соответству</w:t>
      </w:r>
      <w:r>
        <w:t>ющие антимонопольному законодательству не выявлены.</w:t>
      </w:r>
    </w:p>
    <w:sectPr w:rsidR="00982457">
      <w:pgSz w:w="11910" w:h="16840"/>
      <w:pgMar w:top="5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C4BCE"/>
    <w:multiLevelType w:val="hybridMultilevel"/>
    <w:tmpl w:val="AA02BDD4"/>
    <w:lvl w:ilvl="0" w:tplc="E19A8E62">
      <w:start w:val="1"/>
      <w:numFmt w:val="decimal"/>
      <w:lvlText w:val="%1."/>
      <w:lvlJc w:val="left"/>
      <w:pPr>
        <w:ind w:left="134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E40C3DF2">
      <w:numFmt w:val="bullet"/>
      <w:lvlText w:val="•"/>
      <w:lvlJc w:val="left"/>
      <w:pPr>
        <w:ind w:left="1075" w:hanging="291"/>
      </w:pPr>
      <w:rPr>
        <w:rFonts w:hint="default"/>
        <w:lang w:val="ru-RU" w:eastAsia="en-US" w:bidi="ar-SA"/>
      </w:rPr>
    </w:lvl>
    <w:lvl w:ilvl="2" w:tplc="E766C39C">
      <w:numFmt w:val="bullet"/>
      <w:lvlText w:val="•"/>
      <w:lvlJc w:val="left"/>
      <w:pPr>
        <w:ind w:left="2011" w:hanging="291"/>
      </w:pPr>
      <w:rPr>
        <w:rFonts w:hint="default"/>
        <w:lang w:val="ru-RU" w:eastAsia="en-US" w:bidi="ar-SA"/>
      </w:rPr>
    </w:lvl>
    <w:lvl w:ilvl="3" w:tplc="DE0AD3E8">
      <w:numFmt w:val="bullet"/>
      <w:lvlText w:val="•"/>
      <w:lvlJc w:val="left"/>
      <w:pPr>
        <w:ind w:left="2946" w:hanging="291"/>
      </w:pPr>
      <w:rPr>
        <w:rFonts w:hint="default"/>
        <w:lang w:val="ru-RU" w:eastAsia="en-US" w:bidi="ar-SA"/>
      </w:rPr>
    </w:lvl>
    <w:lvl w:ilvl="4" w:tplc="0978A78E">
      <w:numFmt w:val="bullet"/>
      <w:lvlText w:val="•"/>
      <w:lvlJc w:val="left"/>
      <w:pPr>
        <w:ind w:left="3882" w:hanging="291"/>
      </w:pPr>
      <w:rPr>
        <w:rFonts w:hint="default"/>
        <w:lang w:val="ru-RU" w:eastAsia="en-US" w:bidi="ar-SA"/>
      </w:rPr>
    </w:lvl>
    <w:lvl w:ilvl="5" w:tplc="A1C0A9EE">
      <w:numFmt w:val="bullet"/>
      <w:lvlText w:val="•"/>
      <w:lvlJc w:val="left"/>
      <w:pPr>
        <w:ind w:left="4818" w:hanging="291"/>
      </w:pPr>
      <w:rPr>
        <w:rFonts w:hint="default"/>
        <w:lang w:val="ru-RU" w:eastAsia="en-US" w:bidi="ar-SA"/>
      </w:rPr>
    </w:lvl>
    <w:lvl w:ilvl="6" w:tplc="7DFA3D86">
      <w:numFmt w:val="bullet"/>
      <w:lvlText w:val="•"/>
      <w:lvlJc w:val="left"/>
      <w:pPr>
        <w:ind w:left="5753" w:hanging="291"/>
      </w:pPr>
      <w:rPr>
        <w:rFonts w:hint="default"/>
        <w:lang w:val="ru-RU" w:eastAsia="en-US" w:bidi="ar-SA"/>
      </w:rPr>
    </w:lvl>
    <w:lvl w:ilvl="7" w:tplc="8B8CE082">
      <w:numFmt w:val="bullet"/>
      <w:lvlText w:val="•"/>
      <w:lvlJc w:val="left"/>
      <w:pPr>
        <w:ind w:left="6689" w:hanging="291"/>
      </w:pPr>
      <w:rPr>
        <w:rFonts w:hint="default"/>
        <w:lang w:val="ru-RU" w:eastAsia="en-US" w:bidi="ar-SA"/>
      </w:rPr>
    </w:lvl>
    <w:lvl w:ilvl="8" w:tplc="9ADEE456">
      <w:numFmt w:val="bullet"/>
      <w:lvlText w:val="•"/>
      <w:lvlJc w:val="left"/>
      <w:pPr>
        <w:ind w:left="7624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3C036F18"/>
    <w:multiLevelType w:val="hybridMultilevel"/>
    <w:tmpl w:val="54304E18"/>
    <w:lvl w:ilvl="0" w:tplc="3F5875F8">
      <w:start w:val="1"/>
      <w:numFmt w:val="decimal"/>
      <w:lvlText w:val="%1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5"/>
        <w:szCs w:val="25"/>
        <w:lang w:val="ru-RU" w:eastAsia="en-US" w:bidi="ar-SA"/>
      </w:rPr>
    </w:lvl>
    <w:lvl w:ilvl="1" w:tplc="058AC86C">
      <w:numFmt w:val="bullet"/>
      <w:lvlText w:val="•"/>
      <w:lvlJc w:val="left"/>
      <w:pPr>
        <w:ind w:left="1939" w:hanging="420"/>
      </w:pPr>
      <w:rPr>
        <w:rFonts w:hint="default"/>
        <w:lang w:val="ru-RU" w:eastAsia="en-US" w:bidi="ar-SA"/>
      </w:rPr>
    </w:lvl>
    <w:lvl w:ilvl="2" w:tplc="6B620DCA">
      <w:numFmt w:val="bullet"/>
      <w:lvlText w:val="•"/>
      <w:lvlJc w:val="left"/>
      <w:pPr>
        <w:ind w:left="2779" w:hanging="420"/>
      </w:pPr>
      <w:rPr>
        <w:rFonts w:hint="default"/>
        <w:lang w:val="ru-RU" w:eastAsia="en-US" w:bidi="ar-SA"/>
      </w:rPr>
    </w:lvl>
    <w:lvl w:ilvl="3" w:tplc="6680A67E">
      <w:numFmt w:val="bullet"/>
      <w:lvlText w:val="•"/>
      <w:lvlJc w:val="left"/>
      <w:pPr>
        <w:ind w:left="3618" w:hanging="420"/>
      </w:pPr>
      <w:rPr>
        <w:rFonts w:hint="default"/>
        <w:lang w:val="ru-RU" w:eastAsia="en-US" w:bidi="ar-SA"/>
      </w:rPr>
    </w:lvl>
    <w:lvl w:ilvl="4" w:tplc="E26A9C1E">
      <w:numFmt w:val="bullet"/>
      <w:lvlText w:val="•"/>
      <w:lvlJc w:val="left"/>
      <w:pPr>
        <w:ind w:left="4458" w:hanging="420"/>
      </w:pPr>
      <w:rPr>
        <w:rFonts w:hint="default"/>
        <w:lang w:val="ru-RU" w:eastAsia="en-US" w:bidi="ar-SA"/>
      </w:rPr>
    </w:lvl>
    <w:lvl w:ilvl="5" w:tplc="A5E494C6">
      <w:numFmt w:val="bullet"/>
      <w:lvlText w:val="•"/>
      <w:lvlJc w:val="left"/>
      <w:pPr>
        <w:ind w:left="5298" w:hanging="420"/>
      </w:pPr>
      <w:rPr>
        <w:rFonts w:hint="default"/>
        <w:lang w:val="ru-RU" w:eastAsia="en-US" w:bidi="ar-SA"/>
      </w:rPr>
    </w:lvl>
    <w:lvl w:ilvl="6" w:tplc="E20CA462">
      <w:numFmt w:val="bullet"/>
      <w:lvlText w:val="•"/>
      <w:lvlJc w:val="left"/>
      <w:pPr>
        <w:ind w:left="6137" w:hanging="420"/>
      </w:pPr>
      <w:rPr>
        <w:rFonts w:hint="default"/>
        <w:lang w:val="ru-RU" w:eastAsia="en-US" w:bidi="ar-SA"/>
      </w:rPr>
    </w:lvl>
    <w:lvl w:ilvl="7" w:tplc="B01A76C2">
      <w:numFmt w:val="bullet"/>
      <w:lvlText w:val="•"/>
      <w:lvlJc w:val="left"/>
      <w:pPr>
        <w:ind w:left="6977" w:hanging="420"/>
      </w:pPr>
      <w:rPr>
        <w:rFonts w:hint="default"/>
        <w:lang w:val="ru-RU" w:eastAsia="en-US" w:bidi="ar-SA"/>
      </w:rPr>
    </w:lvl>
    <w:lvl w:ilvl="8" w:tplc="7AA2F652">
      <w:numFmt w:val="bullet"/>
      <w:lvlText w:val="•"/>
      <w:lvlJc w:val="left"/>
      <w:pPr>
        <w:ind w:left="7816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457"/>
    <w:rsid w:val="00982457"/>
    <w:rsid w:val="00B0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F3FA9-9644-4C20-B2FB-5F041B07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pPr>
      <w:ind w:right="1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14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Викторовна Лысогор</dc:creator>
  <cp:lastModifiedBy>Маргарита Викторовна Лысогор</cp:lastModifiedBy>
  <cp:revision>2</cp:revision>
  <dcterms:created xsi:type="dcterms:W3CDTF">2025-02-17T07:04:00Z</dcterms:created>
  <dcterms:modified xsi:type="dcterms:W3CDTF">2025-02-17T07:05:00Z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